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C186" w14:textId="77777777" w:rsidR="006F2C35" w:rsidRPr="0026770B" w:rsidRDefault="006F2C35" w:rsidP="006F2C35">
      <w:pPr>
        <w:pStyle w:val="Paragrafoelenco"/>
        <w:spacing w:after="0"/>
        <w:ind w:left="360"/>
        <w:jc w:val="both"/>
        <w:rPr>
          <w:rFonts w:ascii="Arial" w:hAnsi="Arial" w:cs="Arial"/>
          <w:sz w:val="24"/>
          <w:szCs w:val="24"/>
        </w:rPr>
      </w:pPr>
      <w:r w:rsidRPr="0026770B">
        <w:rPr>
          <w:rFonts w:ascii="Arial" w:hAnsi="Arial" w:cs="Arial"/>
          <w:b/>
          <w:bCs/>
          <w:sz w:val="24"/>
          <w:szCs w:val="24"/>
        </w:rPr>
        <w:t xml:space="preserve">Telepedaggio </w:t>
      </w:r>
    </w:p>
    <w:p w14:paraId="720002C0" w14:textId="77777777" w:rsidR="006F2C35" w:rsidRPr="0026770B" w:rsidRDefault="006F2C35" w:rsidP="006F2C35">
      <w:pPr>
        <w:pStyle w:val="Paragrafoelenco"/>
        <w:numPr>
          <w:ilvl w:val="0"/>
          <w:numId w:val="1"/>
        </w:numPr>
        <w:spacing w:after="0"/>
        <w:jc w:val="both"/>
        <w:rPr>
          <w:rFonts w:ascii="Arial" w:hAnsi="Arial" w:cs="Arial"/>
          <w:sz w:val="24"/>
          <w:szCs w:val="24"/>
        </w:rPr>
      </w:pPr>
      <w:r w:rsidRPr="0026770B">
        <w:rPr>
          <w:rFonts w:ascii="Arial" w:hAnsi="Arial" w:cs="Arial"/>
          <w:sz w:val="24"/>
          <w:szCs w:val="24"/>
        </w:rPr>
        <w:t>I sistemi di rilevamento posti sui portali “</w:t>
      </w:r>
      <w:r w:rsidRPr="0026770B">
        <w:rPr>
          <w:rFonts w:ascii="Arial" w:hAnsi="Arial" w:cs="Arial"/>
          <w:i/>
          <w:iCs/>
          <w:sz w:val="24"/>
          <w:szCs w:val="24"/>
        </w:rPr>
        <w:t>free-flow</w:t>
      </w:r>
      <w:r w:rsidRPr="0026770B">
        <w:rPr>
          <w:rFonts w:ascii="Arial" w:hAnsi="Arial" w:cs="Arial"/>
          <w:sz w:val="24"/>
          <w:szCs w:val="24"/>
        </w:rPr>
        <w:t>” della rete autostradale di Autostrada Pedemontana Lombarda S.p.A. (d’ora innanzi anche solo “</w:t>
      </w:r>
      <w:r w:rsidRPr="0026770B">
        <w:rPr>
          <w:rFonts w:ascii="Arial" w:hAnsi="Arial" w:cs="Arial"/>
          <w:b/>
          <w:sz w:val="24"/>
          <w:szCs w:val="24"/>
        </w:rPr>
        <w:t>APL</w:t>
      </w:r>
      <w:r w:rsidRPr="0026770B">
        <w:rPr>
          <w:rFonts w:ascii="Arial" w:hAnsi="Arial" w:cs="Arial"/>
          <w:sz w:val="24"/>
          <w:szCs w:val="24"/>
        </w:rPr>
        <w:t xml:space="preserve">”) consentono non solo di individuare il veicolo in transito e la relativa targa ma anche di rilevare la presenza dell’apparato di bordo (OBU – On Board Unit) del cliente titolare di un contratto inerente </w:t>
      </w:r>
      <w:proofErr w:type="gramStart"/>
      <w:r w:rsidRPr="0026770B">
        <w:rPr>
          <w:rFonts w:ascii="Arial" w:hAnsi="Arial" w:cs="Arial"/>
          <w:sz w:val="24"/>
          <w:szCs w:val="24"/>
        </w:rPr>
        <w:t>il</w:t>
      </w:r>
      <w:proofErr w:type="gramEnd"/>
      <w:r w:rsidRPr="0026770B">
        <w:rPr>
          <w:rFonts w:ascii="Arial" w:hAnsi="Arial" w:cs="Arial"/>
          <w:sz w:val="24"/>
          <w:szCs w:val="24"/>
        </w:rPr>
        <w:t xml:space="preserve"> servizio di pagamento automatico e differito dei pedaggi mediante lo stesso apparato di bordo valido anche sull’anzidetta rete. </w:t>
      </w:r>
    </w:p>
    <w:p w14:paraId="05766E20" w14:textId="77777777" w:rsidR="006F2C35" w:rsidRPr="0026770B" w:rsidRDefault="006F2C35" w:rsidP="006F2C35">
      <w:pPr>
        <w:pStyle w:val="Paragrafoelenco"/>
        <w:spacing w:after="0"/>
        <w:jc w:val="both"/>
        <w:rPr>
          <w:rFonts w:ascii="Arial" w:hAnsi="Arial" w:cs="Arial"/>
          <w:sz w:val="24"/>
          <w:szCs w:val="24"/>
        </w:rPr>
      </w:pPr>
      <w:r w:rsidRPr="0026770B">
        <w:rPr>
          <w:rFonts w:ascii="Arial" w:hAnsi="Arial" w:cs="Arial"/>
          <w:sz w:val="24"/>
          <w:szCs w:val="24"/>
        </w:rPr>
        <w:t xml:space="preserve">I suddetti sistemi accettano e rilevano anche gli apparati di bordo conformi agli standard europei di telepedaggio. L’addebito dei pedaggi relativi ai transiti rilevati dai portali mediante apparato di bordo avviene, pertanto, con le modalità e secondo i termini e le condizioni previsti dal contratto di servizi in essere tra il cliente e la società che presta il suddetto servizio di pagamento. </w:t>
      </w:r>
    </w:p>
    <w:p w14:paraId="2B6B642B" w14:textId="77777777" w:rsidR="006F2C35" w:rsidRDefault="006F2C35" w:rsidP="006F2C35">
      <w:pPr>
        <w:pStyle w:val="Paragrafoelenco"/>
        <w:spacing w:before="120" w:after="0"/>
        <w:ind w:left="709"/>
        <w:jc w:val="both"/>
        <w:rPr>
          <w:rFonts w:ascii="Arial" w:hAnsi="Arial" w:cs="Arial"/>
          <w:sz w:val="24"/>
          <w:szCs w:val="24"/>
        </w:rPr>
      </w:pPr>
    </w:p>
    <w:p w14:paraId="51EE9558" w14:textId="77777777" w:rsidR="006F2C35" w:rsidRPr="0026770B" w:rsidRDefault="006F2C35" w:rsidP="006F2C35">
      <w:pPr>
        <w:pStyle w:val="Paragrafoelenco"/>
        <w:spacing w:before="120" w:after="0"/>
        <w:ind w:left="709"/>
        <w:jc w:val="both"/>
        <w:rPr>
          <w:rFonts w:ascii="Arial" w:hAnsi="Arial" w:cs="Arial"/>
          <w:sz w:val="24"/>
          <w:szCs w:val="24"/>
        </w:rPr>
      </w:pPr>
      <w:r w:rsidRPr="0026770B">
        <w:rPr>
          <w:rFonts w:ascii="Arial" w:hAnsi="Arial" w:cs="Arial"/>
          <w:sz w:val="24"/>
          <w:szCs w:val="24"/>
        </w:rPr>
        <w:t xml:space="preserve">Pertanto, il cliente - titolare di un siffatto contratto di servizi - che intende utilizzare la rete autostradale di </w:t>
      </w:r>
      <w:r>
        <w:rPr>
          <w:rFonts w:ascii="Arial" w:hAnsi="Arial" w:cs="Arial"/>
          <w:sz w:val="24"/>
          <w:szCs w:val="24"/>
        </w:rPr>
        <w:t>APL</w:t>
      </w:r>
      <w:r w:rsidRPr="0026770B">
        <w:rPr>
          <w:rFonts w:ascii="Arial" w:hAnsi="Arial" w:cs="Arial"/>
          <w:sz w:val="24"/>
          <w:szCs w:val="24"/>
        </w:rPr>
        <w:t xml:space="preserve"> con un veicolo avente una targa associata al proprio apparato di bordo, </w:t>
      </w:r>
      <w:r>
        <w:rPr>
          <w:rFonts w:ascii="Arial" w:hAnsi="Arial" w:cs="Arial"/>
          <w:sz w:val="24"/>
          <w:szCs w:val="24"/>
        </w:rPr>
        <w:t>utilizzando</w:t>
      </w:r>
      <w:r w:rsidRPr="0026770B">
        <w:rPr>
          <w:rFonts w:ascii="Arial" w:hAnsi="Arial" w:cs="Arial"/>
          <w:sz w:val="24"/>
          <w:szCs w:val="24"/>
        </w:rPr>
        <w:t xml:space="preserve"> i richiamati portali (preceduti da apposita segnaletica stradale): </w:t>
      </w:r>
    </w:p>
    <w:p w14:paraId="48E434FF" w14:textId="77777777" w:rsidR="006F2C35" w:rsidRPr="0026770B" w:rsidRDefault="006F2C35" w:rsidP="006F2C35">
      <w:pPr>
        <w:pStyle w:val="Paragrafoelenco"/>
        <w:numPr>
          <w:ilvl w:val="0"/>
          <w:numId w:val="2"/>
        </w:numPr>
        <w:spacing w:after="0"/>
        <w:ind w:hanging="300"/>
        <w:jc w:val="both"/>
        <w:rPr>
          <w:rFonts w:ascii="Arial" w:hAnsi="Arial" w:cs="Arial"/>
          <w:sz w:val="24"/>
          <w:szCs w:val="24"/>
        </w:rPr>
      </w:pPr>
      <w:r w:rsidRPr="0026770B">
        <w:rPr>
          <w:rFonts w:ascii="Arial" w:hAnsi="Arial" w:cs="Arial"/>
          <w:sz w:val="24"/>
          <w:szCs w:val="24"/>
        </w:rPr>
        <w:t xml:space="preserve">prende atto ed accetta che i sistemi di rilevamento posti sui portali individuino via radio l’apparato di bordo ai fini della rilevazione dei transiti, dell’associazione con la posizione contrattuale del cliente inerente il servizio di pagamento automatico e differito dei pedaggi e dell’automatica trasmissione dei relativi dati al gestore di tale servizio, terzo rispetto ad APL, ai fini del conseguente addebito secondo le modalità, i termini e le condizioni del contratto, inerente il servizio stesso, intercorrente tra il cliente e il predetto gestore; </w:t>
      </w:r>
    </w:p>
    <w:p w14:paraId="75D20748" w14:textId="77777777" w:rsidR="006F2C35" w:rsidRPr="0026770B" w:rsidRDefault="006F2C35" w:rsidP="006F2C35">
      <w:pPr>
        <w:pStyle w:val="Paragrafoelenco"/>
        <w:numPr>
          <w:ilvl w:val="0"/>
          <w:numId w:val="2"/>
        </w:numPr>
        <w:spacing w:after="0"/>
        <w:jc w:val="both"/>
        <w:rPr>
          <w:rFonts w:ascii="Arial" w:hAnsi="Arial" w:cs="Arial"/>
          <w:sz w:val="24"/>
          <w:szCs w:val="24"/>
        </w:rPr>
      </w:pPr>
      <w:r w:rsidRPr="0026770B">
        <w:rPr>
          <w:rFonts w:ascii="Arial" w:hAnsi="Arial" w:cs="Arial"/>
          <w:sz w:val="24"/>
          <w:szCs w:val="24"/>
        </w:rPr>
        <w:t xml:space="preserve">prende atto ed accetta che, per i suddetti fini, l’apparato di bordo dovrà essere attivo, funzionante e correttamente posizionato all’interno del veicolo durante i transiti sotto i portali </w:t>
      </w:r>
      <w:r w:rsidRPr="0026770B">
        <w:rPr>
          <w:rFonts w:ascii="Arial" w:hAnsi="Arial" w:cs="Arial"/>
          <w:i/>
          <w:iCs/>
          <w:sz w:val="24"/>
          <w:szCs w:val="24"/>
        </w:rPr>
        <w:t>free-flow</w:t>
      </w:r>
      <w:r w:rsidRPr="0026770B">
        <w:rPr>
          <w:rFonts w:ascii="Arial" w:hAnsi="Arial" w:cs="Arial"/>
          <w:sz w:val="24"/>
          <w:szCs w:val="24"/>
        </w:rPr>
        <w:t xml:space="preserve"> della rete autostradale di APL, così come prescritto dalle relative norme tecniche e contrattuali e/o condizioni d’uso.</w:t>
      </w:r>
    </w:p>
    <w:p w14:paraId="156E3D89" w14:textId="77777777" w:rsidR="006F2C35" w:rsidRDefault="006F2C35" w:rsidP="006F2C35">
      <w:pPr>
        <w:pStyle w:val="Paragrafoelenco"/>
        <w:spacing w:after="0"/>
        <w:ind w:left="709"/>
        <w:jc w:val="both"/>
        <w:rPr>
          <w:rFonts w:ascii="Arial" w:hAnsi="Arial" w:cs="Arial"/>
          <w:sz w:val="24"/>
          <w:szCs w:val="24"/>
        </w:rPr>
      </w:pPr>
    </w:p>
    <w:p w14:paraId="413B654B" w14:textId="77777777" w:rsidR="006F2C35" w:rsidRPr="00DB413A" w:rsidRDefault="006F2C35" w:rsidP="006F2C35">
      <w:pPr>
        <w:pStyle w:val="Paragrafoelenco"/>
        <w:spacing w:after="0"/>
        <w:ind w:left="709"/>
        <w:jc w:val="both"/>
        <w:rPr>
          <w:rFonts w:ascii="Arial" w:hAnsi="Arial" w:cs="Arial"/>
          <w:sz w:val="24"/>
          <w:szCs w:val="24"/>
        </w:rPr>
      </w:pPr>
      <w:r w:rsidRPr="0026770B">
        <w:rPr>
          <w:rFonts w:ascii="Arial" w:hAnsi="Arial" w:cs="Arial"/>
          <w:sz w:val="24"/>
          <w:szCs w:val="24"/>
        </w:rPr>
        <w:t xml:space="preserve">Inoltre, il suddetto cliente, </w:t>
      </w:r>
      <w:r w:rsidRPr="002235E9">
        <w:rPr>
          <w:rFonts w:ascii="Arial" w:hAnsi="Arial" w:cs="Arial"/>
          <w:sz w:val="24"/>
          <w:szCs w:val="24"/>
        </w:rPr>
        <w:t xml:space="preserve">utilizzando i </w:t>
      </w:r>
      <w:r w:rsidRPr="0026770B">
        <w:rPr>
          <w:rFonts w:ascii="Arial" w:hAnsi="Arial" w:cs="Arial"/>
          <w:sz w:val="24"/>
          <w:szCs w:val="24"/>
        </w:rPr>
        <w:t xml:space="preserve">portali </w:t>
      </w:r>
      <w:r w:rsidRPr="0026770B">
        <w:rPr>
          <w:rFonts w:ascii="Arial" w:hAnsi="Arial" w:cs="Arial"/>
          <w:i/>
          <w:sz w:val="24"/>
          <w:szCs w:val="24"/>
        </w:rPr>
        <w:t>free-flow</w:t>
      </w:r>
      <w:r w:rsidRPr="0026770B">
        <w:rPr>
          <w:rFonts w:ascii="Arial" w:hAnsi="Arial" w:cs="Arial"/>
          <w:sz w:val="24"/>
          <w:szCs w:val="24"/>
        </w:rPr>
        <w:t xml:space="preserve">: </w:t>
      </w:r>
    </w:p>
    <w:p w14:paraId="1EA9D4C0" w14:textId="77777777" w:rsidR="006F2C35" w:rsidRPr="0026770B" w:rsidRDefault="006F2C35" w:rsidP="006F2C35">
      <w:pPr>
        <w:pStyle w:val="Paragrafoelenco"/>
        <w:numPr>
          <w:ilvl w:val="0"/>
          <w:numId w:val="2"/>
        </w:numPr>
        <w:spacing w:after="0"/>
        <w:ind w:hanging="300"/>
        <w:jc w:val="both"/>
        <w:rPr>
          <w:rFonts w:ascii="Arial" w:hAnsi="Arial" w:cs="Arial"/>
          <w:sz w:val="24"/>
          <w:szCs w:val="24"/>
        </w:rPr>
      </w:pPr>
      <w:r w:rsidRPr="00285827">
        <w:rPr>
          <w:rFonts w:ascii="Arial" w:hAnsi="Arial" w:cs="Arial"/>
          <w:sz w:val="24"/>
          <w:szCs w:val="24"/>
        </w:rPr>
        <w:t xml:space="preserve">acconsente a che </w:t>
      </w:r>
      <w:r w:rsidRPr="0026770B">
        <w:rPr>
          <w:rFonts w:ascii="Arial" w:hAnsi="Arial" w:cs="Arial"/>
          <w:sz w:val="24"/>
          <w:szCs w:val="24"/>
        </w:rPr>
        <w:t>APL proced</w:t>
      </w:r>
      <w:r>
        <w:rPr>
          <w:rFonts w:ascii="Arial" w:hAnsi="Arial" w:cs="Arial"/>
          <w:sz w:val="24"/>
          <w:szCs w:val="24"/>
        </w:rPr>
        <w:t>a</w:t>
      </w:r>
      <w:r w:rsidRPr="0026770B">
        <w:rPr>
          <w:rFonts w:ascii="Arial" w:hAnsi="Arial" w:cs="Arial"/>
          <w:sz w:val="24"/>
          <w:szCs w:val="24"/>
        </w:rPr>
        <w:t xml:space="preserve">, nei casi di mancata rilevazione via radio dell’apparato di bordo in dotazione al cliente stesso mediante i sistemi posti sui portali </w:t>
      </w:r>
      <w:r w:rsidRPr="0026770B">
        <w:rPr>
          <w:rFonts w:ascii="Arial" w:hAnsi="Arial" w:cs="Arial"/>
          <w:i/>
          <w:iCs/>
          <w:sz w:val="24"/>
          <w:szCs w:val="24"/>
        </w:rPr>
        <w:t>free-flow</w:t>
      </w:r>
      <w:r w:rsidRPr="0026770B">
        <w:rPr>
          <w:rFonts w:ascii="Arial" w:hAnsi="Arial" w:cs="Arial"/>
          <w:sz w:val="24"/>
          <w:szCs w:val="24"/>
        </w:rPr>
        <w:t xml:space="preserve"> (ad es. a causa della velocità inadeguata del veicolo, dell’errato o mancato posizionamento dell’apparato a bordo del veicolo, di un imprevisto malfunzionamento dello stesso apparato, etc.), all’associazione dei relativi transiti, rilevati mediante la targa associata all’apparato attraverso le telecamere poste sui portali, con la posizione contrattuale del cliente inerente il servizio di pagamento automatico e differito dei pedaggi, per i fini di cui alla precedente lett. (a), e alla trasmissione dei relativi dati al gestore di tale servizio in funzione dei conseguenti addebiti.</w:t>
      </w:r>
    </w:p>
    <w:p w14:paraId="74538FCE" w14:textId="77777777" w:rsidR="006F2C35" w:rsidRPr="00E35BCA" w:rsidRDefault="006F2C35" w:rsidP="006F2C35">
      <w:pPr>
        <w:pStyle w:val="Paragrafoelenco"/>
        <w:spacing w:before="120" w:after="0"/>
        <w:ind w:left="709"/>
        <w:jc w:val="both"/>
        <w:rPr>
          <w:rFonts w:ascii="Arial" w:hAnsi="Arial" w:cs="Arial"/>
          <w:sz w:val="24"/>
          <w:szCs w:val="24"/>
        </w:rPr>
      </w:pPr>
      <w:r>
        <w:rPr>
          <w:rFonts w:ascii="Arial" w:hAnsi="Arial" w:cs="Arial"/>
          <w:sz w:val="24"/>
          <w:szCs w:val="24"/>
        </w:rPr>
        <w:t>Il cliente, inoltre,</w:t>
      </w:r>
      <w:r w:rsidRPr="00E35BCA">
        <w:rPr>
          <w:rFonts w:ascii="Arial" w:hAnsi="Arial" w:cs="Arial"/>
          <w:sz w:val="24"/>
          <w:szCs w:val="24"/>
        </w:rPr>
        <w:t xml:space="preserve"> </w:t>
      </w:r>
      <w:r>
        <w:rPr>
          <w:rFonts w:ascii="Arial" w:hAnsi="Arial" w:cs="Arial"/>
          <w:sz w:val="24"/>
          <w:szCs w:val="24"/>
        </w:rPr>
        <w:t xml:space="preserve">sempre per i predetti </w:t>
      </w:r>
      <w:r w:rsidRPr="00955EB7">
        <w:rPr>
          <w:rFonts w:ascii="Arial" w:hAnsi="Arial" w:cs="Arial"/>
          <w:sz w:val="24"/>
          <w:szCs w:val="24"/>
        </w:rPr>
        <w:t>casi di mancata rilevazione via radio dell’apparato di bordo</w:t>
      </w:r>
      <w:r>
        <w:rPr>
          <w:rFonts w:ascii="Arial" w:hAnsi="Arial" w:cs="Arial"/>
          <w:sz w:val="24"/>
          <w:szCs w:val="24"/>
        </w:rPr>
        <w:t xml:space="preserve"> e di rilevazione dei transiti a mezzo targa</w:t>
      </w:r>
      <w:r w:rsidRPr="00955EB7">
        <w:rPr>
          <w:rFonts w:ascii="Arial" w:hAnsi="Arial" w:cs="Arial"/>
          <w:sz w:val="24"/>
          <w:szCs w:val="24"/>
        </w:rPr>
        <w:t>,</w:t>
      </w:r>
      <w:r>
        <w:rPr>
          <w:rFonts w:ascii="Arial" w:hAnsi="Arial" w:cs="Arial"/>
          <w:sz w:val="24"/>
          <w:szCs w:val="24"/>
        </w:rPr>
        <w:t xml:space="preserve"> prende </w:t>
      </w:r>
      <w:r w:rsidRPr="00E35BCA">
        <w:rPr>
          <w:rFonts w:ascii="Arial" w:hAnsi="Arial" w:cs="Arial"/>
          <w:sz w:val="24"/>
          <w:szCs w:val="24"/>
        </w:rPr>
        <w:t>atto che,</w:t>
      </w:r>
      <w:r>
        <w:rPr>
          <w:rFonts w:ascii="Arial" w:hAnsi="Arial" w:cs="Arial"/>
          <w:sz w:val="24"/>
          <w:szCs w:val="24"/>
        </w:rPr>
        <w:t xml:space="preserve"> laddove il proprio </w:t>
      </w:r>
      <w:r w:rsidRPr="00863E07">
        <w:rPr>
          <w:rFonts w:ascii="Arial" w:hAnsi="Arial" w:cs="Arial"/>
          <w:sz w:val="24"/>
          <w:szCs w:val="24"/>
        </w:rPr>
        <w:t>gestor</w:t>
      </w:r>
      <w:r>
        <w:rPr>
          <w:rFonts w:ascii="Arial" w:hAnsi="Arial" w:cs="Arial"/>
          <w:sz w:val="24"/>
          <w:szCs w:val="24"/>
        </w:rPr>
        <w:t>e</w:t>
      </w:r>
      <w:r w:rsidRPr="00863E07">
        <w:rPr>
          <w:rFonts w:ascii="Arial" w:hAnsi="Arial" w:cs="Arial"/>
          <w:sz w:val="24"/>
          <w:szCs w:val="24"/>
        </w:rPr>
        <w:t xml:space="preserve"> dei servizi di pagamento automatico e differito dei pedaggi</w:t>
      </w:r>
      <w:r>
        <w:rPr>
          <w:rFonts w:ascii="Arial" w:hAnsi="Arial" w:cs="Arial"/>
          <w:sz w:val="24"/>
          <w:szCs w:val="24"/>
        </w:rPr>
        <w:t xml:space="preserve"> lo preveda,</w:t>
      </w:r>
      <w:r w:rsidRPr="00E35BCA">
        <w:rPr>
          <w:rFonts w:ascii="Arial" w:hAnsi="Arial" w:cs="Arial"/>
          <w:sz w:val="24"/>
          <w:szCs w:val="24"/>
        </w:rPr>
        <w:t xml:space="preserve"> </w:t>
      </w:r>
      <w:r>
        <w:rPr>
          <w:rFonts w:ascii="Arial" w:hAnsi="Arial" w:cs="Arial"/>
          <w:sz w:val="24"/>
          <w:szCs w:val="24"/>
        </w:rPr>
        <w:t xml:space="preserve">può preventivamente </w:t>
      </w:r>
      <w:r w:rsidRPr="00E35BCA">
        <w:rPr>
          <w:rFonts w:ascii="Arial" w:hAnsi="Arial" w:cs="Arial"/>
          <w:sz w:val="24"/>
          <w:szCs w:val="24"/>
        </w:rPr>
        <w:t xml:space="preserve">comunicare alla stessa APL tramite il </w:t>
      </w:r>
      <w:r>
        <w:rPr>
          <w:rFonts w:ascii="Arial" w:hAnsi="Arial" w:cs="Arial"/>
          <w:sz w:val="24"/>
          <w:szCs w:val="24"/>
        </w:rPr>
        <w:t>suddetto</w:t>
      </w:r>
      <w:r w:rsidRPr="00E35BCA">
        <w:rPr>
          <w:rFonts w:ascii="Arial" w:hAnsi="Arial" w:cs="Arial"/>
          <w:sz w:val="24"/>
          <w:szCs w:val="24"/>
        </w:rPr>
        <w:t xml:space="preserve"> </w:t>
      </w:r>
      <w:r w:rsidRPr="00E35BCA">
        <w:rPr>
          <w:rFonts w:ascii="Arial" w:hAnsi="Arial" w:cs="Arial"/>
          <w:sz w:val="24"/>
          <w:szCs w:val="24"/>
        </w:rPr>
        <w:lastRenderedPageBreak/>
        <w:t xml:space="preserve">gestore </w:t>
      </w:r>
      <w:r>
        <w:rPr>
          <w:rFonts w:ascii="Arial" w:hAnsi="Arial" w:cs="Arial"/>
          <w:sz w:val="24"/>
          <w:szCs w:val="24"/>
        </w:rPr>
        <w:t>(</w:t>
      </w:r>
      <w:r w:rsidRPr="00E35BCA">
        <w:rPr>
          <w:rFonts w:ascii="Arial" w:hAnsi="Arial" w:cs="Arial"/>
          <w:sz w:val="24"/>
          <w:szCs w:val="24"/>
        </w:rPr>
        <w:t xml:space="preserve">con le modalità indicate </w:t>
      </w:r>
      <w:r>
        <w:rPr>
          <w:rFonts w:ascii="Arial" w:hAnsi="Arial" w:cs="Arial"/>
          <w:sz w:val="24"/>
          <w:szCs w:val="24"/>
        </w:rPr>
        <w:t>da quest’ultimo sul proprio sito web)</w:t>
      </w:r>
      <w:r w:rsidRPr="00E35BCA">
        <w:rPr>
          <w:rFonts w:ascii="Arial" w:hAnsi="Arial" w:cs="Arial"/>
          <w:sz w:val="24"/>
          <w:szCs w:val="24"/>
        </w:rPr>
        <w:t>, in ogni momento e senza costi aggiuntivi, la propria richiesta/disposizione di esclusione</w:t>
      </w:r>
      <w:r w:rsidRPr="00E35BCA" w:rsidDel="00BB07F7">
        <w:rPr>
          <w:rFonts w:ascii="Arial" w:hAnsi="Arial" w:cs="Arial"/>
          <w:sz w:val="24"/>
          <w:szCs w:val="24"/>
        </w:rPr>
        <w:t xml:space="preserve"> </w:t>
      </w:r>
      <w:r>
        <w:rPr>
          <w:rFonts w:ascii="Arial" w:hAnsi="Arial" w:cs="Arial"/>
          <w:sz w:val="24"/>
          <w:szCs w:val="24"/>
        </w:rPr>
        <w:t xml:space="preserve">dei suddetti transiti rilevati a mezzo targa dalle </w:t>
      </w:r>
      <w:r w:rsidRPr="00E35BCA">
        <w:rPr>
          <w:rFonts w:ascii="Arial" w:hAnsi="Arial" w:cs="Arial"/>
          <w:sz w:val="24"/>
          <w:szCs w:val="24"/>
        </w:rPr>
        <w:t xml:space="preserve">operazioni di associazione e trasmissione dati e di addebito </w:t>
      </w:r>
      <w:r>
        <w:rPr>
          <w:rFonts w:ascii="Arial" w:hAnsi="Arial" w:cs="Arial"/>
          <w:sz w:val="24"/>
          <w:szCs w:val="24"/>
        </w:rPr>
        <w:t xml:space="preserve">dei relativi pedaggi </w:t>
      </w:r>
      <w:r w:rsidRPr="00E35BCA">
        <w:rPr>
          <w:rFonts w:ascii="Arial" w:hAnsi="Arial" w:cs="Arial"/>
          <w:sz w:val="24"/>
          <w:szCs w:val="24"/>
        </w:rPr>
        <w:t xml:space="preserve">mediante il </w:t>
      </w:r>
      <w:r>
        <w:rPr>
          <w:rFonts w:ascii="Arial" w:hAnsi="Arial" w:cs="Arial"/>
          <w:sz w:val="24"/>
          <w:szCs w:val="24"/>
        </w:rPr>
        <w:t>proprio</w:t>
      </w:r>
      <w:r w:rsidRPr="00E35BCA">
        <w:rPr>
          <w:rFonts w:ascii="Arial" w:hAnsi="Arial" w:cs="Arial"/>
          <w:sz w:val="24"/>
          <w:szCs w:val="24"/>
        </w:rPr>
        <w:t xml:space="preserve"> gestore</w:t>
      </w:r>
      <w:r>
        <w:rPr>
          <w:rFonts w:ascii="Arial" w:hAnsi="Arial" w:cs="Arial"/>
          <w:sz w:val="24"/>
          <w:szCs w:val="24"/>
        </w:rPr>
        <w:t xml:space="preserve"> </w:t>
      </w:r>
      <w:r w:rsidRPr="00863E07">
        <w:rPr>
          <w:rFonts w:ascii="Arial" w:hAnsi="Arial" w:cs="Arial"/>
          <w:sz w:val="24"/>
          <w:szCs w:val="24"/>
        </w:rPr>
        <w:t>dei servizi di pagamento</w:t>
      </w:r>
      <w:r w:rsidRPr="00E35BCA">
        <w:rPr>
          <w:rFonts w:ascii="Arial" w:hAnsi="Arial" w:cs="Arial"/>
          <w:sz w:val="24"/>
          <w:szCs w:val="24"/>
        </w:rPr>
        <w:t xml:space="preserve">.. </w:t>
      </w:r>
    </w:p>
    <w:p w14:paraId="44C0CBAB" w14:textId="77777777" w:rsidR="006F2C35" w:rsidRPr="00E35BCA" w:rsidRDefault="006F2C35" w:rsidP="006F2C35">
      <w:pPr>
        <w:spacing w:after="0"/>
        <w:ind w:left="708"/>
        <w:jc w:val="both"/>
        <w:rPr>
          <w:rFonts w:ascii="Arial" w:hAnsi="Arial" w:cs="Arial"/>
          <w:sz w:val="24"/>
          <w:szCs w:val="24"/>
        </w:rPr>
      </w:pPr>
      <w:r w:rsidRPr="00E35BCA">
        <w:rPr>
          <w:rFonts w:ascii="Arial" w:hAnsi="Arial" w:cs="Arial"/>
          <w:sz w:val="24"/>
          <w:szCs w:val="24"/>
        </w:rPr>
        <w:t xml:space="preserve">Tale richiesta/disposizione di esclusione può essere manifestata in relazione alle targhe associate al medesimo apparato di bordo e spiega i propri effetti a tempo indeterminato e sino ad eventuale revoca da parte del cliente stesso; revoca che può essere comunicata, in ogni momento e senza costi aggiuntivi, dal cliente stesso, con le stesse modalità di cui sopra. </w:t>
      </w:r>
    </w:p>
    <w:p w14:paraId="71BCD711" w14:textId="6A20A508" w:rsidR="00FA4D01" w:rsidRPr="00FA4D01" w:rsidRDefault="006F2C35" w:rsidP="00FA4D01">
      <w:pPr>
        <w:spacing w:after="240"/>
        <w:ind w:left="708"/>
        <w:jc w:val="both"/>
        <w:rPr>
          <w:rFonts w:ascii="Arial" w:hAnsi="Arial" w:cs="Arial"/>
          <w:color w:val="FF0000"/>
          <w:sz w:val="24"/>
          <w:szCs w:val="24"/>
        </w:rPr>
      </w:pPr>
      <w:bookmarkStart w:id="0" w:name="_Hlk140835858"/>
      <w:r w:rsidRPr="00E35BCA">
        <w:rPr>
          <w:rFonts w:ascii="Arial" w:hAnsi="Arial" w:cs="Arial"/>
          <w:sz w:val="24"/>
          <w:szCs w:val="24"/>
        </w:rPr>
        <w:t>Qualora il cliente comunichi la propria richiesta/disposizione di esclusione con le previste modalità, a decorrere dal momento in cui l’anzidetta esclusione sarà efficacemente registrata nei sistemi informativi di APL, quest’ultima, nei</w:t>
      </w:r>
      <w:bookmarkEnd w:id="0"/>
      <w:r w:rsidRPr="00E35BCA">
        <w:rPr>
          <w:rFonts w:ascii="Arial" w:hAnsi="Arial" w:cs="Arial"/>
          <w:sz w:val="24"/>
          <w:szCs w:val="24"/>
        </w:rPr>
        <w:t xml:space="preserve"> casi di mancata rilevazione via radio dell’apparato di bordo del cliente stesso all’atto del transito sotto i portali </w:t>
      </w:r>
      <w:r w:rsidRPr="00E35BCA">
        <w:rPr>
          <w:rFonts w:ascii="Arial" w:hAnsi="Arial" w:cs="Arial"/>
          <w:i/>
          <w:iCs/>
          <w:sz w:val="24"/>
          <w:szCs w:val="24"/>
        </w:rPr>
        <w:t>free-flow</w:t>
      </w:r>
      <w:r w:rsidRPr="00E35BCA">
        <w:rPr>
          <w:rFonts w:ascii="Arial" w:hAnsi="Arial" w:cs="Arial"/>
          <w:sz w:val="24"/>
          <w:szCs w:val="24"/>
        </w:rPr>
        <w:t xml:space="preserve">, procederà alla rilevazione del transito mediante la targa del veicolo, secondo le regole generali del proprio sistema di esazione, senza darne comunicazione al gestore del servizio di pagamento automatico e differito dei pedaggi, di cui è titolare il cliente stesso ai fini del relativo addebito. Conseguentemente, il cliente avrà l’obbligo di provvedere al pagamento del relativo pedaggio in favore di APL entro 15 giorni solari e consecutivi dal transito stesso, secondo le regole generali d quest’ultima società (cfr. sopra) e attraverso le ulteriori soluzioni consentite dalla società stessa e indicate di seguito. </w:t>
      </w:r>
      <w:r w:rsidR="00FA4D01">
        <w:rPr>
          <w:rFonts w:ascii="Arial" w:hAnsi="Arial" w:cs="Arial"/>
          <w:sz w:val="24"/>
          <w:szCs w:val="24"/>
        </w:rPr>
        <w:br/>
      </w:r>
      <w:r w:rsidR="00FA4D01" w:rsidRPr="009E342C">
        <w:rPr>
          <w:rFonts w:ascii="Arial" w:hAnsi="Arial" w:cs="Arial"/>
          <w:sz w:val="24"/>
          <w:szCs w:val="24"/>
        </w:rPr>
        <w:t xml:space="preserve">Si precisa che qualora le suddette richieste/disposizioni vengano trasmesse dal cliente tra le ore 00:00 e le ore </w:t>
      </w:r>
      <w:r w:rsidR="006C6554" w:rsidRPr="009E342C">
        <w:rPr>
          <w:rFonts w:ascii="Arial" w:hAnsi="Arial" w:cs="Arial"/>
          <w:sz w:val="24"/>
          <w:szCs w:val="24"/>
        </w:rPr>
        <w:t>11:59</w:t>
      </w:r>
      <w:r w:rsidR="00FA4D01" w:rsidRPr="009E342C">
        <w:rPr>
          <w:rFonts w:ascii="Arial" w:hAnsi="Arial" w:cs="Arial"/>
          <w:sz w:val="24"/>
          <w:szCs w:val="24"/>
        </w:rPr>
        <w:t xml:space="preserve"> di un determinato giorno</w:t>
      </w:r>
      <w:r w:rsidR="006C6554" w:rsidRPr="009E342C">
        <w:rPr>
          <w:rFonts w:ascii="Arial" w:hAnsi="Arial" w:cs="Arial"/>
          <w:sz w:val="24"/>
          <w:szCs w:val="24"/>
        </w:rPr>
        <w:t>, le stesse verranno registrate e produrranno i relativi effetti a decorrere dalle ore 13:00 del medesimo giorno; qualora invece vengano trasmesse tra le ore 12:00 e le ore 23:59 di un determinato giorno, le stesse verranno registrate e produrranno i relativi effetti a decorrere dalle ore 01:00 del giorno seguente.</w:t>
      </w:r>
    </w:p>
    <w:p w14:paraId="76656FC2" w14:textId="77777777" w:rsidR="006F2C35" w:rsidRPr="0026770B" w:rsidRDefault="006F2C35" w:rsidP="006F2C35">
      <w:pPr>
        <w:pStyle w:val="Paragrafoelenco"/>
        <w:spacing w:after="0"/>
        <w:ind w:left="360"/>
        <w:jc w:val="both"/>
        <w:rPr>
          <w:rFonts w:ascii="Arial" w:hAnsi="Arial" w:cs="Arial"/>
          <w:sz w:val="24"/>
          <w:szCs w:val="24"/>
        </w:rPr>
      </w:pPr>
    </w:p>
    <w:p w14:paraId="2C7D5858" w14:textId="77777777" w:rsidR="006F2C35" w:rsidRPr="0026770B" w:rsidRDefault="006F2C35" w:rsidP="006F2C35">
      <w:pPr>
        <w:pStyle w:val="Paragrafoelenco"/>
        <w:numPr>
          <w:ilvl w:val="0"/>
          <w:numId w:val="1"/>
        </w:numPr>
        <w:spacing w:after="0"/>
        <w:jc w:val="both"/>
        <w:rPr>
          <w:rFonts w:ascii="Arial" w:hAnsi="Arial" w:cs="Arial"/>
          <w:sz w:val="24"/>
          <w:szCs w:val="24"/>
        </w:rPr>
      </w:pPr>
      <w:r w:rsidRPr="0026770B">
        <w:rPr>
          <w:rFonts w:ascii="Arial" w:hAnsi="Arial" w:cs="Arial"/>
          <w:sz w:val="24"/>
          <w:szCs w:val="24"/>
        </w:rPr>
        <w:t xml:space="preserve">Per i casi in cui il cliente, titolare di un contratto inerente </w:t>
      </w:r>
      <w:proofErr w:type="gramStart"/>
      <w:r w:rsidRPr="0026770B">
        <w:rPr>
          <w:rFonts w:ascii="Arial" w:hAnsi="Arial" w:cs="Arial"/>
          <w:sz w:val="24"/>
          <w:szCs w:val="24"/>
        </w:rPr>
        <w:t>il</w:t>
      </w:r>
      <w:proofErr w:type="gramEnd"/>
      <w:r w:rsidRPr="0026770B">
        <w:rPr>
          <w:rFonts w:ascii="Arial" w:hAnsi="Arial" w:cs="Arial"/>
          <w:sz w:val="24"/>
          <w:szCs w:val="24"/>
        </w:rPr>
        <w:t xml:space="preserve"> servizio di pagamento automatico e differito dei pedaggi mediante apparato di bordo valido anche sull’anzidetta rete, sia iscritto contemporaneamente al sistema di pagamento “</w:t>
      </w:r>
      <w:r w:rsidRPr="0026770B">
        <w:rPr>
          <w:rFonts w:ascii="Arial" w:hAnsi="Arial" w:cs="Arial"/>
          <w:i/>
          <w:sz w:val="24"/>
          <w:szCs w:val="24"/>
        </w:rPr>
        <w:t>Conto Targa</w:t>
      </w:r>
      <w:r w:rsidRPr="0026770B">
        <w:rPr>
          <w:rFonts w:ascii="Arial" w:hAnsi="Arial" w:cs="Arial"/>
          <w:sz w:val="24"/>
          <w:szCs w:val="24"/>
        </w:rPr>
        <w:t>” o “</w:t>
      </w:r>
      <w:r w:rsidRPr="0026770B">
        <w:rPr>
          <w:rFonts w:ascii="Arial" w:hAnsi="Arial" w:cs="Arial"/>
          <w:i/>
          <w:sz w:val="24"/>
          <w:szCs w:val="24"/>
        </w:rPr>
        <w:t>Ricaricabile Pedemontana</w:t>
      </w:r>
      <w:r w:rsidRPr="0026770B">
        <w:rPr>
          <w:rFonts w:ascii="Arial" w:hAnsi="Arial" w:cs="Arial"/>
          <w:sz w:val="24"/>
          <w:szCs w:val="24"/>
        </w:rPr>
        <w:t xml:space="preserve">” di </w:t>
      </w:r>
      <w:r>
        <w:rPr>
          <w:rFonts w:ascii="Arial" w:hAnsi="Arial" w:cs="Arial"/>
          <w:sz w:val="24"/>
          <w:szCs w:val="24"/>
        </w:rPr>
        <w:t>APL</w:t>
      </w:r>
      <w:r w:rsidRPr="0026770B">
        <w:rPr>
          <w:rFonts w:ascii="Arial" w:hAnsi="Arial" w:cs="Arial"/>
          <w:sz w:val="24"/>
          <w:szCs w:val="24"/>
        </w:rPr>
        <w:t>, attivo al momento del passaggio attraverso i portali “</w:t>
      </w:r>
      <w:r w:rsidRPr="0026770B">
        <w:rPr>
          <w:rFonts w:ascii="Arial" w:hAnsi="Arial" w:cs="Arial"/>
          <w:i/>
          <w:iCs/>
          <w:sz w:val="24"/>
          <w:szCs w:val="24"/>
        </w:rPr>
        <w:t>free-flow</w:t>
      </w:r>
      <w:r w:rsidRPr="0026770B">
        <w:rPr>
          <w:rFonts w:ascii="Arial" w:hAnsi="Arial" w:cs="Arial"/>
          <w:iCs/>
          <w:sz w:val="24"/>
          <w:szCs w:val="24"/>
        </w:rPr>
        <w:t>”</w:t>
      </w:r>
      <w:r w:rsidRPr="0026770B">
        <w:rPr>
          <w:rFonts w:ascii="Arial" w:hAnsi="Arial" w:cs="Arial"/>
          <w:sz w:val="24"/>
          <w:szCs w:val="24"/>
        </w:rPr>
        <w:t>, il cliente medesimo:</w:t>
      </w:r>
    </w:p>
    <w:p w14:paraId="5FB2ECFA" w14:textId="77777777" w:rsidR="006F2C35" w:rsidRPr="0026770B" w:rsidRDefault="006F2C35" w:rsidP="006F2C35">
      <w:pPr>
        <w:pStyle w:val="Paragrafoelenco"/>
        <w:numPr>
          <w:ilvl w:val="0"/>
          <w:numId w:val="3"/>
        </w:numPr>
        <w:spacing w:after="0"/>
        <w:jc w:val="both"/>
        <w:rPr>
          <w:rFonts w:ascii="Arial" w:hAnsi="Arial" w:cs="Arial"/>
          <w:sz w:val="24"/>
          <w:szCs w:val="24"/>
        </w:rPr>
      </w:pPr>
      <w:r w:rsidRPr="0026770B">
        <w:rPr>
          <w:rFonts w:ascii="Arial" w:hAnsi="Arial" w:cs="Arial"/>
          <w:sz w:val="24"/>
          <w:szCs w:val="24"/>
        </w:rPr>
        <w:t xml:space="preserve">prende atto ed accetta che i sistemi di rilevamento posti sui portali individuino, in via prioritaria, l’apparato di bordo per la rilevazione dei transiti, ai fini dell’associazione dello stesso apparato con la posizione contrattuale del cliente inerente </w:t>
      </w:r>
      <w:proofErr w:type="gramStart"/>
      <w:r w:rsidRPr="0026770B">
        <w:rPr>
          <w:rFonts w:ascii="Arial" w:hAnsi="Arial" w:cs="Arial"/>
          <w:sz w:val="24"/>
          <w:szCs w:val="24"/>
        </w:rPr>
        <w:t>il</w:t>
      </w:r>
      <w:proofErr w:type="gramEnd"/>
      <w:r w:rsidRPr="0026770B">
        <w:rPr>
          <w:rFonts w:ascii="Arial" w:hAnsi="Arial" w:cs="Arial"/>
          <w:sz w:val="24"/>
          <w:szCs w:val="24"/>
        </w:rPr>
        <w:t xml:space="preserve"> servizio di pagamento automatico e differito dei pedaggi e dell’automatica trasmissione dei relativi dati al gestore di tale servizio, terzo rispetto ad </w:t>
      </w:r>
      <w:r>
        <w:rPr>
          <w:rFonts w:ascii="Arial" w:hAnsi="Arial" w:cs="Arial"/>
          <w:sz w:val="24"/>
          <w:szCs w:val="24"/>
        </w:rPr>
        <w:t>APL</w:t>
      </w:r>
      <w:r w:rsidRPr="0026770B">
        <w:rPr>
          <w:rFonts w:ascii="Arial" w:hAnsi="Arial" w:cs="Arial"/>
          <w:sz w:val="24"/>
          <w:szCs w:val="24"/>
        </w:rPr>
        <w:t xml:space="preserve">. Tale individuazione prioritaria è preordinata al conseguente addebito del pedaggio secondo le modalità, i termini e le condizioni del contratto, inerente </w:t>
      </w:r>
      <w:proofErr w:type="gramStart"/>
      <w:r w:rsidRPr="0026770B">
        <w:rPr>
          <w:rFonts w:ascii="Arial" w:hAnsi="Arial" w:cs="Arial"/>
          <w:sz w:val="24"/>
          <w:szCs w:val="24"/>
        </w:rPr>
        <w:t>il</w:t>
      </w:r>
      <w:proofErr w:type="gramEnd"/>
      <w:r w:rsidRPr="0026770B">
        <w:rPr>
          <w:rFonts w:ascii="Arial" w:hAnsi="Arial" w:cs="Arial"/>
          <w:sz w:val="24"/>
          <w:szCs w:val="24"/>
        </w:rPr>
        <w:t xml:space="preserve"> servizio stesso, intercorrente tra il cliente e il predetto gestore del servizio; </w:t>
      </w:r>
    </w:p>
    <w:p w14:paraId="6E3A17D2" w14:textId="77777777" w:rsidR="006F2C35" w:rsidRPr="0026770B" w:rsidRDefault="006F2C35" w:rsidP="006F2C35">
      <w:pPr>
        <w:pStyle w:val="Paragrafoelenco"/>
        <w:numPr>
          <w:ilvl w:val="0"/>
          <w:numId w:val="3"/>
        </w:numPr>
        <w:spacing w:after="0"/>
        <w:jc w:val="both"/>
        <w:rPr>
          <w:rFonts w:ascii="Arial" w:hAnsi="Arial" w:cs="Arial"/>
          <w:sz w:val="24"/>
          <w:szCs w:val="24"/>
        </w:rPr>
      </w:pPr>
      <w:r w:rsidRPr="0026770B">
        <w:rPr>
          <w:rFonts w:ascii="Arial" w:hAnsi="Arial" w:cs="Arial"/>
          <w:sz w:val="24"/>
          <w:szCs w:val="24"/>
        </w:rPr>
        <w:t xml:space="preserve">prende atto ed accetta che APL, in caso di mancata rilevazione via radio dell’apparato di bordo in dotazione al cliente mediante i sistemi posti sui portali </w:t>
      </w:r>
      <w:r w:rsidRPr="0026770B">
        <w:rPr>
          <w:rFonts w:ascii="Arial" w:hAnsi="Arial" w:cs="Arial"/>
          <w:sz w:val="24"/>
          <w:szCs w:val="24"/>
        </w:rPr>
        <w:lastRenderedPageBreak/>
        <w:t>“</w:t>
      </w:r>
      <w:r w:rsidRPr="005C307F">
        <w:rPr>
          <w:rFonts w:ascii="Arial" w:hAnsi="Arial"/>
          <w:sz w:val="24"/>
        </w:rPr>
        <w:t>free-flow</w:t>
      </w:r>
      <w:r w:rsidRPr="00037BCC">
        <w:rPr>
          <w:rFonts w:ascii="Arial" w:hAnsi="Arial" w:cs="Arial"/>
          <w:sz w:val="24"/>
          <w:szCs w:val="24"/>
        </w:rPr>
        <w:t>”</w:t>
      </w:r>
      <w:r w:rsidRPr="0026770B">
        <w:rPr>
          <w:rFonts w:ascii="Arial" w:hAnsi="Arial" w:cs="Arial"/>
          <w:sz w:val="24"/>
          <w:szCs w:val="24"/>
        </w:rPr>
        <w:t xml:space="preserve"> (ad es. a causa della velocità inadeguata del veicolo, dell’errato o mancato posizionamento dell’apparato a bordo del veicolo, di un imprevisto malfunzionamento dell’apparato, etc.), procederà alla rilevazione del transito mediante la targa del veicolo, secondo le regole generali del proprio Sistema di Esazione FFML e successivamente al relativo addebito del pedaggio sul servizio “</w:t>
      </w:r>
      <w:r w:rsidRPr="005C307F">
        <w:rPr>
          <w:rFonts w:ascii="Arial" w:hAnsi="Arial"/>
          <w:sz w:val="24"/>
        </w:rPr>
        <w:t>Conto Targa</w:t>
      </w:r>
      <w:r w:rsidRPr="0026770B">
        <w:rPr>
          <w:rFonts w:ascii="Arial" w:hAnsi="Arial" w:cs="Arial"/>
          <w:sz w:val="24"/>
          <w:szCs w:val="24"/>
        </w:rPr>
        <w:t>” o “</w:t>
      </w:r>
      <w:r w:rsidRPr="005C307F">
        <w:rPr>
          <w:rFonts w:ascii="Arial" w:hAnsi="Arial"/>
          <w:sz w:val="24"/>
        </w:rPr>
        <w:t>Ricaricabile Pedemontana</w:t>
      </w:r>
      <w:r w:rsidRPr="0026770B">
        <w:rPr>
          <w:rFonts w:ascii="Arial" w:hAnsi="Arial" w:cs="Arial"/>
          <w:sz w:val="24"/>
          <w:szCs w:val="24"/>
        </w:rPr>
        <w:t>” con le modalità e secondo i termini e le condizioni previsti dal contratto di servizi in essere con il cliente;</w:t>
      </w:r>
    </w:p>
    <w:p w14:paraId="45B0CDCC" w14:textId="77777777" w:rsidR="006F2C35" w:rsidRPr="0026770B" w:rsidRDefault="006F2C35" w:rsidP="006F2C35">
      <w:pPr>
        <w:pStyle w:val="Paragrafoelenco"/>
        <w:numPr>
          <w:ilvl w:val="0"/>
          <w:numId w:val="3"/>
        </w:numPr>
        <w:spacing w:after="0"/>
        <w:jc w:val="both"/>
        <w:rPr>
          <w:rFonts w:ascii="Arial" w:hAnsi="Arial" w:cs="Arial"/>
          <w:sz w:val="24"/>
          <w:szCs w:val="24"/>
        </w:rPr>
      </w:pPr>
      <w:r w:rsidRPr="0026770B">
        <w:rPr>
          <w:rFonts w:ascii="Arial" w:hAnsi="Arial" w:cs="Arial"/>
          <w:sz w:val="24"/>
          <w:szCs w:val="24"/>
        </w:rPr>
        <w:t>prende atto ed accetta che l’eventuale applicazione degli sconti, di volta in volta attivati da APL, sarà computata da quest’ultima in relazione all’effettiva modalità di rilevamento del transito, secondo la prevalenza descritta al presente paragrafo 2, ai precedenti punti a) e b) ma senza diritto di cumulo degli sconti previsti per i diversi sistemi di pagamento.</w:t>
      </w:r>
    </w:p>
    <w:p w14:paraId="2AD3E45A" w14:textId="77777777" w:rsidR="006F2C35" w:rsidRPr="0026770B" w:rsidRDefault="006F2C35" w:rsidP="006F2C35">
      <w:pPr>
        <w:pStyle w:val="Paragrafoelenco"/>
        <w:spacing w:after="0"/>
        <w:ind w:left="360"/>
        <w:jc w:val="both"/>
        <w:rPr>
          <w:rFonts w:ascii="Arial" w:hAnsi="Arial" w:cs="Arial"/>
          <w:sz w:val="24"/>
          <w:szCs w:val="24"/>
        </w:rPr>
      </w:pPr>
    </w:p>
    <w:p w14:paraId="1DEC10FC" w14:textId="77777777" w:rsidR="006F2C35" w:rsidRPr="0026770B" w:rsidRDefault="006F2C35" w:rsidP="006F2C35">
      <w:pPr>
        <w:pStyle w:val="Paragrafoelenco"/>
        <w:spacing w:before="240" w:after="0"/>
        <w:ind w:left="357"/>
        <w:jc w:val="both"/>
        <w:rPr>
          <w:rFonts w:ascii="Arial" w:hAnsi="Arial" w:cs="Arial"/>
          <w:sz w:val="24"/>
          <w:szCs w:val="24"/>
        </w:rPr>
      </w:pPr>
    </w:p>
    <w:p w14:paraId="0454678C" w14:textId="77777777" w:rsidR="006F2C35" w:rsidRPr="0026770B" w:rsidRDefault="006F2C35" w:rsidP="006F2C35">
      <w:pPr>
        <w:pStyle w:val="Paragrafoelenco"/>
        <w:spacing w:before="240" w:after="0"/>
        <w:ind w:left="357"/>
        <w:jc w:val="both"/>
        <w:rPr>
          <w:rFonts w:ascii="Arial" w:hAnsi="Arial" w:cs="Arial"/>
          <w:sz w:val="24"/>
          <w:szCs w:val="24"/>
        </w:rPr>
      </w:pPr>
    </w:p>
    <w:p w14:paraId="35150ABA" w14:textId="77777777" w:rsidR="006F2C35" w:rsidRPr="0026770B" w:rsidRDefault="006F2C35" w:rsidP="006F2C35">
      <w:pPr>
        <w:pStyle w:val="Paragrafoelenco"/>
        <w:spacing w:before="240" w:after="0"/>
        <w:ind w:left="357"/>
        <w:jc w:val="both"/>
        <w:rPr>
          <w:rFonts w:ascii="Arial" w:hAnsi="Arial" w:cs="Arial"/>
          <w:sz w:val="24"/>
          <w:szCs w:val="24"/>
        </w:rPr>
      </w:pPr>
    </w:p>
    <w:p w14:paraId="03494323" w14:textId="77777777" w:rsidR="006F2C35" w:rsidRPr="0026770B" w:rsidRDefault="006F2C35" w:rsidP="006F2C35">
      <w:pPr>
        <w:pStyle w:val="Paragrafoelenco"/>
        <w:spacing w:before="240" w:after="0"/>
        <w:ind w:left="357"/>
        <w:jc w:val="both"/>
        <w:rPr>
          <w:rFonts w:ascii="Arial" w:hAnsi="Arial" w:cs="Arial"/>
          <w:sz w:val="24"/>
          <w:szCs w:val="24"/>
        </w:rPr>
      </w:pPr>
    </w:p>
    <w:p w14:paraId="2CA146B8" w14:textId="77777777" w:rsidR="006F2C35" w:rsidRPr="0026770B" w:rsidRDefault="006F2C35" w:rsidP="006F2C35">
      <w:pPr>
        <w:pStyle w:val="Paragrafoelenco"/>
        <w:spacing w:before="240" w:after="0"/>
        <w:ind w:left="357"/>
        <w:jc w:val="both"/>
        <w:rPr>
          <w:rFonts w:ascii="Arial" w:hAnsi="Arial" w:cs="Arial"/>
          <w:sz w:val="24"/>
          <w:szCs w:val="24"/>
        </w:rPr>
      </w:pPr>
    </w:p>
    <w:p w14:paraId="4222D2BE" w14:textId="77777777" w:rsidR="006F2C35" w:rsidRPr="0026770B" w:rsidRDefault="006F2C35" w:rsidP="006F2C35">
      <w:pPr>
        <w:pStyle w:val="Paragrafoelenco"/>
        <w:spacing w:before="240" w:after="0"/>
        <w:ind w:left="357"/>
        <w:jc w:val="both"/>
        <w:rPr>
          <w:rFonts w:ascii="Arial" w:hAnsi="Arial" w:cs="Arial"/>
          <w:sz w:val="24"/>
          <w:szCs w:val="24"/>
        </w:rPr>
      </w:pPr>
    </w:p>
    <w:p w14:paraId="4CFBA1F5" w14:textId="77777777" w:rsidR="006F2C35" w:rsidRPr="0026770B" w:rsidRDefault="006F2C35" w:rsidP="006F2C35">
      <w:pPr>
        <w:pStyle w:val="Paragrafoelenco"/>
        <w:spacing w:before="240" w:after="0"/>
        <w:ind w:left="357"/>
        <w:jc w:val="both"/>
        <w:rPr>
          <w:rFonts w:ascii="Arial" w:hAnsi="Arial" w:cs="Arial"/>
          <w:sz w:val="24"/>
          <w:szCs w:val="24"/>
        </w:rPr>
      </w:pPr>
    </w:p>
    <w:p w14:paraId="6C811329" w14:textId="77777777" w:rsidR="006F2C35" w:rsidRPr="0026770B" w:rsidRDefault="006F2C35" w:rsidP="006F2C35">
      <w:pPr>
        <w:pStyle w:val="Paragrafoelenco"/>
        <w:spacing w:before="240" w:after="0"/>
        <w:ind w:left="357"/>
        <w:jc w:val="both"/>
        <w:rPr>
          <w:rFonts w:ascii="Arial" w:hAnsi="Arial" w:cs="Arial"/>
          <w:sz w:val="24"/>
          <w:szCs w:val="24"/>
        </w:rPr>
      </w:pPr>
    </w:p>
    <w:p w14:paraId="2EC8FFF6" w14:textId="77777777" w:rsidR="006F2C35" w:rsidRPr="0026770B" w:rsidRDefault="006F2C35" w:rsidP="006F2C35">
      <w:pPr>
        <w:pStyle w:val="Paragrafoelenco"/>
        <w:spacing w:before="240" w:after="0"/>
        <w:ind w:left="357"/>
        <w:jc w:val="both"/>
        <w:rPr>
          <w:rFonts w:ascii="Arial" w:hAnsi="Arial" w:cs="Arial"/>
          <w:sz w:val="24"/>
          <w:szCs w:val="24"/>
        </w:rPr>
      </w:pPr>
    </w:p>
    <w:p w14:paraId="701041C7" w14:textId="77777777" w:rsidR="006F2C35" w:rsidRPr="0026770B" w:rsidRDefault="006F2C35" w:rsidP="006F2C35">
      <w:pPr>
        <w:pStyle w:val="Paragrafoelenco"/>
        <w:spacing w:before="240" w:after="0"/>
        <w:ind w:left="357"/>
        <w:jc w:val="both"/>
        <w:rPr>
          <w:rFonts w:ascii="Arial" w:hAnsi="Arial" w:cs="Arial"/>
          <w:sz w:val="24"/>
          <w:szCs w:val="24"/>
        </w:rPr>
      </w:pPr>
    </w:p>
    <w:p w14:paraId="3AB85F16" w14:textId="77777777" w:rsidR="006F2C35" w:rsidRPr="0026770B" w:rsidRDefault="006F2C35" w:rsidP="006F2C35">
      <w:pPr>
        <w:pStyle w:val="Paragrafoelenco"/>
        <w:spacing w:before="240" w:after="0"/>
        <w:ind w:left="357"/>
        <w:jc w:val="both"/>
        <w:rPr>
          <w:rFonts w:ascii="Arial" w:hAnsi="Arial" w:cs="Arial"/>
          <w:sz w:val="24"/>
          <w:szCs w:val="24"/>
        </w:rPr>
      </w:pPr>
    </w:p>
    <w:p w14:paraId="4E24A921" w14:textId="77777777" w:rsidR="006F2C35" w:rsidRPr="0026770B" w:rsidRDefault="006F2C35" w:rsidP="006F2C35">
      <w:pPr>
        <w:pStyle w:val="Paragrafoelenco"/>
        <w:spacing w:before="240" w:after="0"/>
        <w:ind w:left="357"/>
        <w:jc w:val="both"/>
        <w:rPr>
          <w:rFonts w:ascii="Arial" w:hAnsi="Arial" w:cs="Arial"/>
          <w:sz w:val="24"/>
          <w:szCs w:val="24"/>
        </w:rPr>
      </w:pPr>
    </w:p>
    <w:p w14:paraId="6F794488" w14:textId="77777777" w:rsidR="006F2C35" w:rsidRPr="0026770B" w:rsidRDefault="006F2C35" w:rsidP="006F2C35">
      <w:pPr>
        <w:pStyle w:val="Paragrafoelenco"/>
        <w:spacing w:before="240" w:after="0"/>
        <w:ind w:left="357"/>
        <w:jc w:val="both"/>
        <w:rPr>
          <w:rFonts w:ascii="Arial" w:hAnsi="Arial" w:cs="Arial"/>
          <w:sz w:val="24"/>
          <w:szCs w:val="24"/>
        </w:rPr>
      </w:pPr>
    </w:p>
    <w:p w14:paraId="1A4704AD" w14:textId="77777777" w:rsidR="006F2C35" w:rsidRPr="0026770B" w:rsidRDefault="006F2C35" w:rsidP="006F2C35">
      <w:pPr>
        <w:pStyle w:val="Paragrafoelenco"/>
        <w:spacing w:before="240" w:after="0"/>
        <w:ind w:left="357"/>
        <w:jc w:val="both"/>
        <w:rPr>
          <w:rFonts w:ascii="Arial" w:hAnsi="Arial" w:cs="Arial"/>
          <w:sz w:val="24"/>
          <w:szCs w:val="24"/>
        </w:rPr>
      </w:pPr>
    </w:p>
    <w:p w14:paraId="318B30A6" w14:textId="77777777" w:rsidR="006F2C35" w:rsidRPr="0026770B" w:rsidRDefault="006F2C35" w:rsidP="006F2C35">
      <w:pPr>
        <w:pStyle w:val="Paragrafoelenco"/>
        <w:spacing w:before="240" w:after="0"/>
        <w:ind w:left="357"/>
        <w:jc w:val="both"/>
        <w:rPr>
          <w:rFonts w:ascii="Arial" w:hAnsi="Arial" w:cs="Arial"/>
          <w:sz w:val="24"/>
          <w:szCs w:val="24"/>
        </w:rPr>
      </w:pPr>
    </w:p>
    <w:p w14:paraId="43D614F0" w14:textId="77777777" w:rsidR="006F2C35" w:rsidRPr="0026770B" w:rsidRDefault="006F2C35" w:rsidP="006F2C35">
      <w:pPr>
        <w:pStyle w:val="Paragrafoelenco"/>
        <w:spacing w:before="240" w:after="0"/>
        <w:ind w:left="357"/>
        <w:jc w:val="both"/>
        <w:rPr>
          <w:rFonts w:ascii="Arial" w:hAnsi="Arial" w:cs="Arial"/>
          <w:sz w:val="24"/>
          <w:szCs w:val="24"/>
        </w:rPr>
      </w:pPr>
    </w:p>
    <w:p w14:paraId="06EE23B7" w14:textId="77777777" w:rsidR="006F2C35" w:rsidRPr="0026770B" w:rsidRDefault="006F2C35" w:rsidP="006F2C35">
      <w:pPr>
        <w:pStyle w:val="Paragrafoelenco"/>
        <w:spacing w:before="240" w:after="0"/>
        <w:ind w:left="357"/>
        <w:jc w:val="both"/>
        <w:rPr>
          <w:rFonts w:ascii="Arial" w:hAnsi="Arial" w:cs="Arial"/>
          <w:sz w:val="24"/>
          <w:szCs w:val="24"/>
        </w:rPr>
      </w:pPr>
    </w:p>
    <w:p w14:paraId="78DCE5DD" w14:textId="77777777" w:rsidR="006F2C35" w:rsidRPr="0026770B" w:rsidRDefault="006F2C35" w:rsidP="006F2C35">
      <w:pPr>
        <w:pStyle w:val="Paragrafoelenco"/>
        <w:spacing w:before="240" w:after="0"/>
        <w:ind w:left="357"/>
        <w:jc w:val="both"/>
        <w:rPr>
          <w:rFonts w:ascii="Arial" w:hAnsi="Arial" w:cs="Arial"/>
          <w:sz w:val="24"/>
          <w:szCs w:val="24"/>
        </w:rPr>
      </w:pPr>
    </w:p>
    <w:p w14:paraId="4D6B4CF0" w14:textId="77777777" w:rsidR="006F2C35" w:rsidRPr="0026770B" w:rsidRDefault="006F2C35" w:rsidP="006F2C35">
      <w:pPr>
        <w:pStyle w:val="Paragrafoelenco"/>
        <w:spacing w:before="240" w:after="0"/>
        <w:ind w:left="357"/>
        <w:jc w:val="both"/>
        <w:rPr>
          <w:rFonts w:ascii="Arial" w:hAnsi="Arial" w:cs="Arial"/>
          <w:sz w:val="24"/>
          <w:szCs w:val="24"/>
        </w:rPr>
      </w:pPr>
    </w:p>
    <w:p w14:paraId="2873848E" w14:textId="77777777" w:rsidR="006F2C35" w:rsidRPr="0026770B" w:rsidRDefault="006F2C35" w:rsidP="006F2C35">
      <w:pPr>
        <w:pStyle w:val="Paragrafoelenco"/>
        <w:spacing w:before="240" w:after="0"/>
        <w:ind w:left="357"/>
        <w:jc w:val="both"/>
        <w:rPr>
          <w:rFonts w:ascii="Arial" w:hAnsi="Arial" w:cs="Arial"/>
          <w:sz w:val="24"/>
          <w:szCs w:val="24"/>
        </w:rPr>
      </w:pPr>
    </w:p>
    <w:p w14:paraId="72B10E9B" w14:textId="77777777" w:rsidR="006F2C35" w:rsidRPr="0026770B" w:rsidRDefault="006F2C35" w:rsidP="006F2C35">
      <w:pPr>
        <w:pStyle w:val="Paragrafoelenco"/>
        <w:spacing w:before="240" w:after="0"/>
        <w:ind w:left="357"/>
        <w:jc w:val="both"/>
        <w:rPr>
          <w:rFonts w:ascii="Arial" w:hAnsi="Arial" w:cs="Arial"/>
          <w:sz w:val="24"/>
          <w:szCs w:val="24"/>
        </w:rPr>
      </w:pPr>
    </w:p>
    <w:p w14:paraId="0D8A340B" w14:textId="77777777" w:rsidR="006F2C35" w:rsidRPr="005C307F" w:rsidRDefault="006F2C35" w:rsidP="006F2C35">
      <w:pPr>
        <w:pStyle w:val="Paragrafoelenco"/>
        <w:spacing w:before="240" w:after="0"/>
        <w:ind w:left="357"/>
        <w:jc w:val="both"/>
        <w:rPr>
          <w:rFonts w:ascii="Arial" w:hAnsi="Arial"/>
          <w:sz w:val="24"/>
        </w:rPr>
      </w:pPr>
    </w:p>
    <w:p w14:paraId="09FB347C" w14:textId="77777777" w:rsidR="006F2C35" w:rsidRPr="005C307F" w:rsidRDefault="006F2C35" w:rsidP="006F2C35">
      <w:pPr>
        <w:pStyle w:val="Paragrafoelenco"/>
        <w:spacing w:before="240" w:after="0"/>
        <w:ind w:left="357"/>
        <w:jc w:val="both"/>
        <w:rPr>
          <w:rFonts w:ascii="Arial" w:hAnsi="Arial"/>
          <w:sz w:val="24"/>
        </w:rPr>
      </w:pPr>
    </w:p>
    <w:p w14:paraId="05192C27" w14:textId="77777777" w:rsidR="006F2C35" w:rsidRPr="005C307F" w:rsidRDefault="006F2C35" w:rsidP="006F2C35">
      <w:pPr>
        <w:pStyle w:val="Paragrafoelenco"/>
        <w:spacing w:before="240" w:after="0"/>
        <w:ind w:left="357"/>
        <w:jc w:val="both"/>
        <w:rPr>
          <w:rFonts w:ascii="Arial" w:hAnsi="Arial"/>
          <w:sz w:val="24"/>
        </w:rPr>
      </w:pPr>
    </w:p>
    <w:p w14:paraId="31BF8300" w14:textId="77777777" w:rsidR="006F2C35" w:rsidRPr="005C307F" w:rsidRDefault="006F2C35" w:rsidP="006F2C35">
      <w:pPr>
        <w:pStyle w:val="Paragrafoelenco"/>
        <w:spacing w:before="240" w:after="0"/>
        <w:ind w:left="357"/>
        <w:jc w:val="both"/>
        <w:rPr>
          <w:rFonts w:ascii="Arial" w:hAnsi="Arial"/>
          <w:sz w:val="24"/>
        </w:rPr>
      </w:pPr>
    </w:p>
    <w:p w14:paraId="1B115EA2" w14:textId="77777777" w:rsidR="006F2C35" w:rsidRPr="00863E07" w:rsidRDefault="006F2C35" w:rsidP="006F2C35">
      <w:pPr>
        <w:rPr>
          <w:rFonts w:ascii="Arial" w:hAnsi="Arial" w:cs="Arial"/>
          <w:b/>
          <w:bCs/>
          <w:color w:val="7F7F7F" w:themeColor="text1" w:themeTint="80"/>
          <w:sz w:val="24"/>
          <w:szCs w:val="24"/>
        </w:rPr>
      </w:pPr>
    </w:p>
    <w:p w14:paraId="5B4028A3" w14:textId="77777777" w:rsidR="006F2C35" w:rsidRDefault="006F2C35"/>
    <w:sectPr w:rsidR="006F2C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9194A"/>
    <w:multiLevelType w:val="hybridMultilevel"/>
    <w:tmpl w:val="4830EF16"/>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 w15:restartNumberingAfterBreak="0">
    <w:nsid w:val="70BC288D"/>
    <w:multiLevelType w:val="hybridMultilevel"/>
    <w:tmpl w:val="C25CC08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784B2456"/>
    <w:multiLevelType w:val="hybridMultilevel"/>
    <w:tmpl w:val="7B4A47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3936231">
    <w:abstractNumId w:val="2"/>
  </w:num>
  <w:num w:numId="2" w16cid:durableId="1903174059">
    <w:abstractNumId w:val="0"/>
  </w:num>
  <w:num w:numId="3" w16cid:durableId="126557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EA"/>
    <w:rsid w:val="00364376"/>
    <w:rsid w:val="00635CEA"/>
    <w:rsid w:val="00667DAB"/>
    <w:rsid w:val="006C6554"/>
    <w:rsid w:val="006F2C35"/>
    <w:rsid w:val="008C64DF"/>
    <w:rsid w:val="009E342C"/>
    <w:rsid w:val="00DB4BC3"/>
    <w:rsid w:val="00E26DF6"/>
    <w:rsid w:val="00E45181"/>
    <w:rsid w:val="00FA4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1407"/>
  <w15:chartTrackingRefBased/>
  <w15:docId w15:val="{3F39DBAD-B440-48E6-BF8E-E48FAD9B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C35"/>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2C3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Mucci</dc:creator>
  <cp:keywords/>
  <dc:description/>
  <cp:lastModifiedBy>Daniele Mucci</cp:lastModifiedBy>
  <cp:revision>3</cp:revision>
  <dcterms:created xsi:type="dcterms:W3CDTF">2023-09-30T16:12:00Z</dcterms:created>
  <dcterms:modified xsi:type="dcterms:W3CDTF">2023-09-30T16:12:00Z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2023-09-13T09:26:17Z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1d2b8cce-f535-4486-b405-a766e3fbfc13</vt:lpwstr>
  </property>
  <property fmtid="{D5CDD505-2E9C-101B-9397-08002B2CF9AE}" pid="7" name="MSIP_Label_defa4170-0d19-0005-0004-bc88714345d2_ActionId">
    <vt:lpwstr>c146dfa1-3a66-44cc-ab6d-36806b384fa3</vt:lpwstr>
  </property>
  <property fmtid="{D5CDD505-2E9C-101B-9397-08002B2CF9AE}" pid="8" name="MSIP_Label_defa4170-0d19-0005-0004-bc88714345d2_ContentBits">
    <vt:lpwstr>0</vt:lpwstr>
  </property>
</Properties>
</file>